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6B5928" w:rsidRDefault="000005A0" w:rsidP="000005A0">
      <w:pPr>
        <w:ind w:firstLine="0"/>
        <w:rPr>
          <w:b/>
        </w:rPr>
      </w:pPr>
      <w:r>
        <w:rPr>
          <w:b/>
        </w:rPr>
        <w:t xml:space="preserve">             </w:t>
      </w:r>
    </w:p>
    <w:p w:rsidR="006B5928" w:rsidRPr="00FA60CE" w:rsidRDefault="006B5928" w:rsidP="006B592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    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КАРАР</w:t>
      </w:r>
    </w:p>
    <w:p w:rsidR="006B5928" w:rsidRDefault="006B5928" w:rsidP="006B592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5928" w:rsidRDefault="006B5928" w:rsidP="006B5928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30 мая 2021 г.                                                                                         №</w:t>
      </w:r>
      <w:r w:rsidR="009D23F8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№27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5928" w:rsidRPr="002D1DDE" w:rsidRDefault="006B5928" w:rsidP="006B59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6B5928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D23F8">
        <w:rPr>
          <w:rFonts w:ascii="Times New Roman" w:hAnsi="Times New Roman" w:cs="Times New Roman"/>
          <w:sz w:val="24"/>
          <w:szCs w:val="24"/>
        </w:rPr>
        <w:t>751</w:t>
      </w:r>
      <w:r w:rsidR="00245ABC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22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6B5928" w:rsidRPr="00EC6969" w:rsidRDefault="006B5928" w:rsidP="006B5928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8173,0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B37CDC">
        <w:rPr>
          <w:rFonts w:ascii="Times New Roman" w:hAnsi="Times New Roman" w:cs="Times New Roman"/>
          <w:sz w:val="24"/>
          <w:szCs w:val="24"/>
        </w:rPr>
        <w:t>8670,4</w:t>
      </w:r>
      <w:r w:rsidRPr="00EC6969">
        <w:rPr>
          <w:rFonts w:ascii="Times New Roman" w:hAnsi="Times New Roman" w:cs="Times New Roman"/>
          <w:sz w:val="24"/>
          <w:szCs w:val="24"/>
        </w:rPr>
        <w:t>тыс. рублей», приложение 3 изложить в новой редакции.</w:t>
      </w: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245ABC">
        <w:rPr>
          <w:rFonts w:ascii="Times New Roman" w:hAnsi="Times New Roman" w:cs="Times New Roman"/>
          <w:sz w:val="24"/>
          <w:szCs w:val="24"/>
        </w:rPr>
        <w:t>8173,0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AE">
        <w:rPr>
          <w:rFonts w:ascii="Times New Roman" w:hAnsi="Times New Roman" w:cs="Times New Roman"/>
          <w:sz w:val="24"/>
          <w:szCs w:val="24"/>
        </w:rPr>
        <w:t>тыс. рублей» заменить на «9422,0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6B59AD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59AD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6B59AD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6B5928" w:rsidRDefault="006B5928" w:rsidP="000005A0">
      <w:pPr>
        <w:ind w:firstLine="0"/>
        <w:rPr>
          <w:b/>
        </w:rPr>
      </w:pPr>
    </w:p>
    <w:p w:rsidR="00671C55" w:rsidRDefault="00671C55" w:rsidP="006B59A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2211A" w:rsidRDefault="00D2211A" w:rsidP="002C390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6B59A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45F8C">
        <w:rPr>
          <w:rFonts w:ascii="Times New Roman" w:hAnsi="Times New Roman" w:cs="Times New Roman"/>
          <w:sz w:val="20"/>
          <w:szCs w:val="20"/>
        </w:rPr>
        <w:t xml:space="preserve">  </w:t>
      </w:r>
      <w:r w:rsidR="00C31004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C31004">
        <w:rPr>
          <w:rFonts w:ascii="Times New Roman" w:hAnsi="Times New Roman" w:cs="Times New Roman"/>
          <w:sz w:val="20"/>
          <w:szCs w:val="20"/>
        </w:rPr>
        <w:t xml:space="preserve"> </w:t>
      </w:r>
      <w:r w:rsidR="009D23F8">
        <w:rPr>
          <w:rFonts w:ascii="Times New Roman" w:hAnsi="Times New Roman" w:cs="Times New Roman"/>
          <w:sz w:val="20"/>
          <w:szCs w:val="20"/>
        </w:rPr>
        <w:t>5</w:t>
      </w:r>
      <w:r w:rsidR="00C31004">
        <w:rPr>
          <w:rFonts w:ascii="Times New Roman" w:hAnsi="Times New Roman" w:cs="Times New Roman"/>
          <w:sz w:val="20"/>
          <w:szCs w:val="20"/>
        </w:rPr>
        <w:t xml:space="preserve"> от </w:t>
      </w:r>
      <w:r w:rsidR="006B59AD">
        <w:rPr>
          <w:rFonts w:ascii="Times New Roman" w:hAnsi="Times New Roman" w:cs="Times New Roman"/>
          <w:sz w:val="20"/>
          <w:szCs w:val="20"/>
        </w:rPr>
        <w:t>30 мая</w:t>
      </w:r>
      <w:r w:rsidR="00620F71">
        <w:rPr>
          <w:rFonts w:ascii="Times New Roman" w:hAnsi="Times New Roman" w:cs="Times New Roman"/>
          <w:sz w:val="20"/>
          <w:szCs w:val="20"/>
        </w:rPr>
        <w:t xml:space="preserve"> 202</w:t>
      </w:r>
      <w:r w:rsidR="006B59AD">
        <w:rPr>
          <w:rFonts w:ascii="Times New Roman" w:hAnsi="Times New Roman" w:cs="Times New Roman"/>
          <w:sz w:val="20"/>
          <w:szCs w:val="20"/>
        </w:rPr>
        <w:t>2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8C268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8C268B" w:rsidP="006B5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6B5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59AD">
              <w:rPr>
                <w:rFonts w:ascii="Times New Roman" w:hAnsi="Times New Roman" w:cs="Times New Roman"/>
                <w:sz w:val="20"/>
                <w:szCs w:val="20"/>
              </w:rPr>
              <w:t>670,4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6B5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59AD">
              <w:rPr>
                <w:rFonts w:ascii="Times New Roman" w:hAnsi="Times New Roman" w:cs="Times New Roman"/>
                <w:sz w:val="20"/>
                <w:szCs w:val="20"/>
              </w:rPr>
              <w:t>670,4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B37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8670,4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0C41AE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9422,0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C41A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C41A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C41AE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B59AD" w:rsidRDefault="006B59A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32BA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Pr="00B717E1" w:rsidRDefault="00C31004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785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24785B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785B">
        <w:rPr>
          <w:rFonts w:ascii="Times New Roman" w:hAnsi="Times New Roman" w:cs="Times New Roman"/>
          <w:sz w:val="20"/>
          <w:szCs w:val="20"/>
        </w:rPr>
        <w:t>мая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4785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2759,5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BB15AA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1 17 14000 00 0000 150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9D23F8" w:rsidRDefault="009D23F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Pr="009D23F8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0B0E1B" w:rsidRDefault="009D23F8" w:rsidP="009D23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CB2331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3510,9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B5B2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2A665D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B37CDC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B37CDC" w:rsidRDefault="00B37CDC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B37CDC" w:rsidRPr="00D738B7" w:rsidRDefault="00B37CDC" w:rsidP="00B37C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, передаваемые 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37CDC" w:rsidRPr="00D738B7" w:rsidRDefault="00245F8C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AA2819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B37CD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8670,4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751,6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C31004" w:rsidRPr="00B717E1" w:rsidTr="006B59AD">
        <w:tc>
          <w:tcPr>
            <w:tcW w:w="8818" w:type="dxa"/>
          </w:tcPr>
          <w:p w:rsidR="00C31004" w:rsidRPr="00671C55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31004" w:rsidRDefault="00C31004" w:rsidP="002C39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04" w:rsidRPr="00B717E1" w:rsidTr="006B59AD">
        <w:tc>
          <w:tcPr>
            <w:tcW w:w="8818" w:type="dxa"/>
          </w:tcPr>
          <w:p w:rsidR="006B59AD" w:rsidRPr="00B717E1" w:rsidRDefault="006B59AD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C31004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004" w:rsidRPr="00B717E1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B717E1" w:rsidRDefault="002C3904" w:rsidP="002C390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6B59A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5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31004" w:rsidRDefault="00C31004" w:rsidP="00C31004">
      <w:pPr>
        <w:ind w:right="-4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785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0E100E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3F8">
        <w:rPr>
          <w:rFonts w:ascii="Times New Roman" w:hAnsi="Times New Roman" w:cs="Times New Roman"/>
          <w:sz w:val="20"/>
          <w:szCs w:val="20"/>
        </w:rPr>
        <w:t>ма</w:t>
      </w:r>
      <w:r>
        <w:rPr>
          <w:rFonts w:ascii="Times New Roman" w:hAnsi="Times New Roman" w:cs="Times New Roman"/>
          <w:sz w:val="20"/>
          <w:szCs w:val="20"/>
        </w:rPr>
        <w:t>я 202</w:t>
      </w:r>
      <w:r w:rsidR="000E100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004" w:rsidRDefault="00C31004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2022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2906,4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1272,1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1272,1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667,1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03E8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503E82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1055,6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503E8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1055,6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503E82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E82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C5132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03E82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405"/>
        </w:trPr>
        <w:tc>
          <w:tcPr>
            <w:tcW w:w="5983" w:type="dxa"/>
            <w:shd w:val="clear" w:color="auto" w:fill="auto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1669,7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1669,7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1669,7</w:t>
            </w:r>
          </w:p>
        </w:tc>
      </w:tr>
      <w:tr w:rsidR="00503E82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2711,6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2630,1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C0519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503E82"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503E82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C0519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03E82" w:rsidRPr="006E3B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503E82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2033,4</w:t>
            </w:r>
          </w:p>
        </w:tc>
      </w:tr>
      <w:tr w:rsidR="00503E82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2033,4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03E82"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03E82" w:rsidRPr="006E3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503E82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9422,0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37CDC" w:rsidRDefault="00B37CD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1148C6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45F8C" w:rsidRDefault="00245F8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B2331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671C55" w:rsidRPr="00B717E1" w:rsidRDefault="00CB233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1148C6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095A67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95A67">
        <w:rPr>
          <w:rFonts w:ascii="Times New Roman" w:hAnsi="Times New Roman" w:cs="Times New Roman"/>
          <w:sz w:val="20"/>
          <w:szCs w:val="20"/>
        </w:rPr>
        <w:t xml:space="preserve">№ </w:t>
      </w:r>
      <w:r w:rsidR="009948F1">
        <w:rPr>
          <w:rFonts w:ascii="Times New Roman" w:hAnsi="Times New Roman" w:cs="Times New Roman"/>
          <w:sz w:val="20"/>
          <w:szCs w:val="20"/>
        </w:rPr>
        <w:t>5</w:t>
      </w:r>
      <w:r w:rsidRPr="00095A67">
        <w:rPr>
          <w:rFonts w:ascii="Times New Roman" w:hAnsi="Times New Roman" w:cs="Times New Roman"/>
          <w:sz w:val="20"/>
          <w:szCs w:val="20"/>
        </w:rPr>
        <w:t xml:space="preserve"> от </w:t>
      </w:r>
      <w:r w:rsidR="002C3904">
        <w:rPr>
          <w:rFonts w:ascii="Times New Roman" w:hAnsi="Times New Roman" w:cs="Times New Roman"/>
          <w:sz w:val="20"/>
          <w:szCs w:val="20"/>
        </w:rPr>
        <w:t>30</w:t>
      </w:r>
      <w:r w:rsidR="009948F1">
        <w:rPr>
          <w:rFonts w:ascii="Times New Roman" w:hAnsi="Times New Roman" w:cs="Times New Roman"/>
          <w:sz w:val="20"/>
          <w:szCs w:val="20"/>
        </w:rPr>
        <w:t xml:space="preserve"> мая</w:t>
      </w:r>
      <w:r w:rsidRPr="00095A67">
        <w:rPr>
          <w:rFonts w:ascii="Times New Roman" w:hAnsi="Times New Roman" w:cs="Times New Roman"/>
          <w:sz w:val="20"/>
          <w:szCs w:val="20"/>
        </w:rPr>
        <w:t xml:space="preserve"> 202</w:t>
      </w:r>
      <w:r w:rsidR="009948F1">
        <w:rPr>
          <w:rFonts w:ascii="Times New Roman" w:hAnsi="Times New Roman" w:cs="Times New Roman"/>
          <w:sz w:val="20"/>
          <w:szCs w:val="20"/>
        </w:rPr>
        <w:t>2</w:t>
      </w:r>
      <w:r w:rsidRPr="00095A67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B39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2357,8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1272,1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1272,1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667,1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1080,5</w:t>
            </w:r>
          </w:p>
        </w:tc>
      </w:tr>
      <w:tr w:rsidR="00191400" w:rsidRPr="00B717E1" w:rsidTr="00C86BC8">
        <w:trPr>
          <w:gridBefore w:val="1"/>
          <w:wBefore w:w="106" w:type="dxa"/>
          <w:trHeight w:val="11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DB3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7F5B95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1055,6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948F1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948F1" w:rsidRPr="00B717E1" w:rsidRDefault="009948F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9948F1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948F1" w:rsidRPr="00B717E1" w:rsidRDefault="009948F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579DA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1669,7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1669,7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1669,7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2711,6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2630,1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571,7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2033,4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2033,4</w:t>
            </w:r>
          </w:p>
        </w:tc>
      </w:tr>
      <w:tr w:rsidR="002579DA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2579DA"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45F8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579DA" w:rsidRPr="006E3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79DA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1148C6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948F1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948F1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915E0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2C3904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1399,3</w:t>
            </w:r>
          </w:p>
        </w:tc>
      </w:tr>
      <w:tr w:rsidR="00915E0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948F1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9422,0</w:t>
            </w:r>
          </w:p>
        </w:tc>
      </w:tr>
      <w:tr w:rsidR="00915E0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915E03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Pr="00671C55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915E03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Pr="00671C55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20C7A" w:rsidRDefault="00820C7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Default="00DA4022" w:rsidP="00B37CDC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A714AE" w:rsidRPr="00A714AE" w:rsidRDefault="00A714AE" w:rsidP="00A714AE">
      <w:pPr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FA" w:rsidRDefault="00A971FA">
      <w:r>
        <w:separator/>
      </w:r>
    </w:p>
  </w:endnote>
  <w:endnote w:type="continuationSeparator" w:id="0">
    <w:p w:rsidR="00A971FA" w:rsidRDefault="00A9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AE" w:rsidRDefault="000C41A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41AE" w:rsidRDefault="000C41A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AE" w:rsidRDefault="000C41A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331">
      <w:rPr>
        <w:rStyle w:val="a9"/>
        <w:noProof/>
      </w:rPr>
      <w:t>8</w:t>
    </w:r>
    <w:r>
      <w:rPr>
        <w:rStyle w:val="a9"/>
      </w:rPr>
      <w:fldChar w:fldCharType="end"/>
    </w:r>
  </w:p>
  <w:p w:rsidR="000C41AE" w:rsidRPr="00CF493A" w:rsidRDefault="000C41AE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AE" w:rsidRPr="003678F2" w:rsidRDefault="000C41A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CB2331">
      <w:rPr>
        <w:noProof/>
        <w:sz w:val="20"/>
        <w:szCs w:val="20"/>
        <w:lang w:val="en-US"/>
      </w:rPr>
      <w:t>C</w:t>
    </w:r>
    <w:r w:rsidR="00CB2331" w:rsidRPr="00CB2331">
      <w:rPr>
        <w:noProof/>
        <w:sz w:val="20"/>
        <w:szCs w:val="20"/>
      </w:rPr>
      <w:t>:\</w:t>
    </w:r>
    <w:r w:rsidR="00CB2331">
      <w:rPr>
        <w:noProof/>
        <w:sz w:val="20"/>
        <w:szCs w:val="20"/>
        <w:lang w:val="en-US"/>
      </w:rPr>
      <w:t>Users</w:t>
    </w:r>
    <w:r w:rsidR="00CB2331" w:rsidRPr="00CB2331">
      <w:rPr>
        <w:noProof/>
        <w:sz w:val="20"/>
        <w:szCs w:val="20"/>
      </w:rPr>
      <w:t>\</w:t>
    </w:r>
    <w:r w:rsidR="00CB2331">
      <w:rPr>
        <w:noProof/>
        <w:sz w:val="20"/>
        <w:szCs w:val="20"/>
        <w:lang w:val="en-US"/>
      </w:rPr>
      <w:t>Maral</w:t>
    </w:r>
    <w:r w:rsidR="00CB2331" w:rsidRPr="00CB2331">
      <w:rPr>
        <w:noProof/>
        <w:sz w:val="20"/>
        <w:szCs w:val="20"/>
      </w:rPr>
      <w:t>\</w:t>
    </w:r>
    <w:r w:rsidR="00CB2331">
      <w:rPr>
        <w:noProof/>
        <w:sz w:val="20"/>
        <w:szCs w:val="20"/>
        <w:lang w:val="en-US"/>
      </w:rPr>
      <w:t>Desktop</w:t>
    </w:r>
    <w:r w:rsidR="00CB2331" w:rsidRPr="00CB2331">
      <w:rPr>
        <w:noProof/>
        <w:sz w:val="20"/>
        <w:szCs w:val="20"/>
      </w:rPr>
      <w:t>\Решения и постановления за 2022г\Решение№5 от 30.05.2022г бюджета  на 2022-2024г.</w:t>
    </w:r>
    <w:r w:rsidR="00CB2331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FA" w:rsidRDefault="00A971FA">
      <w:r>
        <w:separator/>
      </w:r>
    </w:p>
  </w:footnote>
  <w:footnote w:type="continuationSeparator" w:id="0">
    <w:p w:rsidR="00A971FA" w:rsidRDefault="00A9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3468"/>
    <w:rsid w:val="000C3506"/>
    <w:rsid w:val="000C41AE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00E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68A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5ABC"/>
    <w:rsid w:val="00245F8C"/>
    <w:rsid w:val="0024636F"/>
    <w:rsid w:val="0024785B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3904"/>
    <w:rsid w:val="002C40C6"/>
    <w:rsid w:val="002C4511"/>
    <w:rsid w:val="002C4FEC"/>
    <w:rsid w:val="002C50B8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5B66"/>
    <w:rsid w:val="00336B2C"/>
    <w:rsid w:val="0034372B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25D2"/>
    <w:rsid w:val="004F3AA3"/>
    <w:rsid w:val="005005D3"/>
    <w:rsid w:val="005024AE"/>
    <w:rsid w:val="00503E82"/>
    <w:rsid w:val="005049D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86DD5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24A"/>
    <w:rsid w:val="005B768D"/>
    <w:rsid w:val="005C0016"/>
    <w:rsid w:val="005C06C8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87973"/>
    <w:rsid w:val="00695AED"/>
    <w:rsid w:val="00697771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5928"/>
    <w:rsid w:val="006B59AD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68B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B2B"/>
    <w:rsid w:val="00943017"/>
    <w:rsid w:val="00943FF9"/>
    <w:rsid w:val="00944283"/>
    <w:rsid w:val="009468AD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48F1"/>
    <w:rsid w:val="0099743F"/>
    <w:rsid w:val="009A189A"/>
    <w:rsid w:val="009A2015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23F8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971FA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37CDC"/>
    <w:rsid w:val="00B40B46"/>
    <w:rsid w:val="00B417CF"/>
    <w:rsid w:val="00B44827"/>
    <w:rsid w:val="00B45981"/>
    <w:rsid w:val="00B45BF0"/>
    <w:rsid w:val="00B460B0"/>
    <w:rsid w:val="00B4726D"/>
    <w:rsid w:val="00B50193"/>
    <w:rsid w:val="00B524D2"/>
    <w:rsid w:val="00B52F00"/>
    <w:rsid w:val="00B54187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448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9B"/>
    <w:rsid w:val="00C051CC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331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63E9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E8E"/>
    <w:rsid w:val="00E63F65"/>
    <w:rsid w:val="00E65B1A"/>
    <w:rsid w:val="00E66196"/>
    <w:rsid w:val="00E662BB"/>
    <w:rsid w:val="00E66AE9"/>
    <w:rsid w:val="00E7029D"/>
    <w:rsid w:val="00E705B0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F727B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6EB1-A0FA-4397-8F3A-E37B4378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2022-06-06T13:00:00Z</cp:lastPrinted>
  <dcterms:created xsi:type="dcterms:W3CDTF">2022-06-06T12:17:00Z</dcterms:created>
  <dcterms:modified xsi:type="dcterms:W3CDTF">2022-06-06T13:01:00Z</dcterms:modified>
</cp:coreProperties>
</file>